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F1" w:rsidRPr="00FD3281" w:rsidRDefault="009A13F1" w:rsidP="009A13F1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9A13F1" w:rsidRDefault="009A13F1" w:rsidP="009A13F1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9A13F1" w:rsidRPr="00FD3281" w:rsidRDefault="009A13F1" w:rsidP="009A13F1">
      <w:pPr>
        <w:jc w:val="center"/>
        <w:rPr>
          <w:b/>
        </w:rPr>
      </w:pPr>
    </w:p>
    <w:p w:rsidR="009A13F1" w:rsidRPr="00D11828" w:rsidRDefault="009A13F1" w:rsidP="009A13F1">
      <w:pPr>
        <w:jc w:val="center"/>
      </w:pPr>
      <w:r>
        <w:t xml:space="preserve">третьего </w:t>
      </w:r>
      <w:r w:rsidRPr="00D11828">
        <w:t>созыва</w:t>
      </w:r>
    </w:p>
    <w:p w:rsidR="009A13F1" w:rsidRDefault="009A13F1" w:rsidP="009A13F1">
      <w:pPr>
        <w:jc w:val="center"/>
      </w:pPr>
    </w:p>
    <w:p w:rsidR="009A13F1" w:rsidRDefault="009A13F1" w:rsidP="009A13F1">
      <w:pPr>
        <w:jc w:val="center"/>
        <w:rPr>
          <w:b/>
        </w:rPr>
      </w:pPr>
      <w:r>
        <w:rPr>
          <w:b/>
        </w:rPr>
        <w:t>РЕШЕНИЕ</w:t>
      </w:r>
    </w:p>
    <w:p w:rsidR="009A13F1" w:rsidRDefault="009A13F1" w:rsidP="009A13F1">
      <w:pPr>
        <w:jc w:val="both"/>
      </w:pPr>
    </w:p>
    <w:p w:rsidR="009A13F1" w:rsidRDefault="009A13F1" w:rsidP="009A13F1">
      <w:pPr>
        <w:jc w:val="both"/>
      </w:pPr>
      <w:r>
        <w:t xml:space="preserve">     22.12.2023 г.                                                                                              № 94</w:t>
      </w:r>
    </w:p>
    <w:p w:rsidR="009A13F1" w:rsidRDefault="009A13F1" w:rsidP="009A13F1">
      <w:pPr>
        <w:jc w:val="center"/>
      </w:pPr>
      <w:r>
        <w:t>п. Юбилейный</w:t>
      </w:r>
    </w:p>
    <w:p w:rsidR="009A13F1" w:rsidRDefault="009A13F1" w:rsidP="009A13F1">
      <w:pPr>
        <w:jc w:val="center"/>
      </w:pPr>
    </w:p>
    <w:p w:rsidR="009A13F1" w:rsidRDefault="009A13F1" w:rsidP="009A13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поселения в сфере                       архитектуры и градостроительства</w:t>
      </w:r>
    </w:p>
    <w:p w:rsidR="009A13F1" w:rsidRDefault="009A13F1" w:rsidP="009A13F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13F1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статьей 8 Градостроительного кодекса Российской Федерации и части 3 статьи 8 Устава Юбилейного сельского поселения Котельничского района Кировской области, Юбилейная сельская Дума</w:t>
      </w:r>
      <w:r w:rsidRPr="00164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Котельничского района Кировской области РЕШИЛА:</w:t>
      </w:r>
    </w:p>
    <w:p w:rsidR="009A13F1" w:rsidRDefault="009A13F1" w:rsidP="009A13F1">
      <w:pPr>
        <w:pStyle w:val="a3"/>
        <w:rPr>
          <w:rFonts w:ascii="Times New Roman" w:hAnsi="Times New Roman"/>
          <w:sz w:val="28"/>
          <w:szCs w:val="28"/>
        </w:rPr>
      </w:pPr>
    </w:p>
    <w:p w:rsidR="009A13F1" w:rsidRPr="007138B9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38B9">
        <w:rPr>
          <w:rFonts w:ascii="Times New Roman" w:hAnsi="Times New Roman"/>
          <w:sz w:val="28"/>
          <w:szCs w:val="28"/>
        </w:rPr>
        <w:t xml:space="preserve">1. Рекомендовать администрации </w:t>
      </w:r>
      <w:r>
        <w:rPr>
          <w:rFonts w:ascii="Times New Roman" w:hAnsi="Times New Roman"/>
          <w:sz w:val="28"/>
          <w:szCs w:val="28"/>
        </w:rPr>
        <w:t xml:space="preserve">Юбилейного сельского </w:t>
      </w:r>
      <w:r w:rsidRPr="007138B9">
        <w:rPr>
          <w:rFonts w:ascii="Times New Roman" w:hAnsi="Times New Roman"/>
          <w:sz w:val="28"/>
          <w:szCs w:val="28"/>
        </w:rPr>
        <w:t>поселения передать осуществление части полномочий поселения в сфере архитект</w:t>
      </w:r>
      <w:r>
        <w:rPr>
          <w:rFonts w:ascii="Times New Roman" w:hAnsi="Times New Roman"/>
          <w:sz w:val="28"/>
          <w:szCs w:val="28"/>
        </w:rPr>
        <w:t>уры и градостроительства в 2024</w:t>
      </w:r>
      <w:r w:rsidRPr="007138B9">
        <w:rPr>
          <w:rFonts w:ascii="Times New Roman" w:hAnsi="Times New Roman"/>
          <w:sz w:val="28"/>
          <w:szCs w:val="28"/>
        </w:rPr>
        <w:t xml:space="preserve"> году администрации Котельничского района и </w:t>
      </w:r>
      <w:proofErr w:type="gramStart"/>
      <w:r w:rsidRPr="007138B9">
        <w:rPr>
          <w:rFonts w:ascii="Times New Roman" w:hAnsi="Times New Roman"/>
          <w:sz w:val="28"/>
          <w:szCs w:val="28"/>
        </w:rPr>
        <w:t>заключить  соглашение</w:t>
      </w:r>
      <w:proofErr w:type="gramEnd"/>
      <w:r w:rsidRPr="007138B9">
        <w:rPr>
          <w:rFonts w:ascii="Times New Roman" w:hAnsi="Times New Roman"/>
          <w:sz w:val="28"/>
          <w:szCs w:val="28"/>
        </w:rPr>
        <w:t>.</w:t>
      </w:r>
    </w:p>
    <w:p w:rsidR="009A13F1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3F1" w:rsidRPr="007138B9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38B9">
        <w:rPr>
          <w:rFonts w:ascii="Times New Roman" w:hAnsi="Times New Roman"/>
          <w:sz w:val="28"/>
          <w:szCs w:val="28"/>
        </w:rPr>
        <w:t>2. Утвердить финансовый норматив на осуществление части полномочий, указанн</w:t>
      </w:r>
      <w:r>
        <w:rPr>
          <w:rFonts w:ascii="Times New Roman" w:hAnsi="Times New Roman"/>
          <w:sz w:val="28"/>
          <w:szCs w:val="28"/>
        </w:rPr>
        <w:t xml:space="preserve">ых в пункте 1 данного решения, </w:t>
      </w:r>
      <w:r w:rsidRPr="007138B9">
        <w:rPr>
          <w:rFonts w:ascii="Times New Roman" w:hAnsi="Times New Roman"/>
          <w:sz w:val="28"/>
          <w:szCs w:val="28"/>
        </w:rPr>
        <w:t>в размере 0,25.</w:t>
      </w:r>
    </w:p>
    <w:p w:rsidR="009A13F1" w:rsidRPr="007138B9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3F1" w:rsidRPr="007138B9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38B9">
        <w:rPr>
          <w:rFonts w:ascii="Times New Roman" w:hAnsi="Times New Roman"/>
          <w:sz w:val="28"/>
          <w:szCs w:val="28"/>
        </w:rPr>
        <w:t>3. Утвердить Методику расчёта субвенции на осуществление части полномочий поселения в сфере архитек</w:t>
      </w:r>
      <w:r>
        <w:rPr>
          <w:rFonts w:ascii="Times New Roman" w:hAnsi="Times New Roman"/>
          <w:sz w:val="28"/>
          <w:szCs w:val="28"/>
        </w:rPr>
        <w:t>туры и градостроительства в 2024</w:t>
      </w:r>
      <w:r w:rsidRPr="007138B9">
        <w:rPr>
          <w:rFonts w:ascii="Times New Roman" w:hAnsi="Times New Roman"/>
          <w:sz w:val="28"/>
          <w:szCs w:val="28"/>
        </w:rPr>
        <w:t xml:space="preserve"> году. Приложение № 1. Прилагается.</w:t>
      </w:r>
    </w:p>
    <w:p w:rsidR="009A13F1" w:rsidRPr="007138B9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3F1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38B9">
        <w:rPr>
          <w:rFonts w:ascii="Times New Roman" w:hAnsi="Times New Roman"/>
          <w:sz w:val="28"/>
          <w:szCs w:val="28"/>
        </w:rPr>
        <w:t>4. Утвердить расчет средств межбюджетных трансфертов на опл</w:t>
      </w:r>
      <w:r>
        <w:rPr>
          <w:rFonts w:ascii="Times New Roman" w:hAnsi="Times New Roman"/>
          <w:sz w:val="28"/>
          <w:szCs w:val="28"/>
        </w:rPr>
        <w:t>ату переданных полномочий в 2024</w:t>
      </w:r>
      <w:r w:rsidRPr="007138B9">
        <w:rPr>
          <w:rFonts w:ascii="Times New Roman" w:hAnsi="Times New Roman"/>
          <w:sz w:val="28"/>
          <w:szCs w:val="28"/>
        </w:rPr>
        <w:t xml:space="preserve"> году. Приложение № 2. Прилагается.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13F1" w:rsidRDefault="009A13F1" w:rsidP="009A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7E07" w:rsidRDefault="009A13F1" w:rsidP="000C7E07">
      <w:pPr>
        <w:jc w:val="both"/>
      </w:pPr>
      <w:r>
        <w:t xml:space="preserve">     </w:t>
      </w:r>
      <w:r w:rsidRPr="00733FAD">
        <w:t>5. Опубликовать настоящее решение в Информ</w:t>
      </w:r>
      <w:r w:rsidR="000C7E07">
        <w:t>ационном бюллетене</w:t>
      </w:r>
      <w:r w:rsidR="000C7E07" w:rsidRPr="000C7E07">
        <w:t xml:space="preserve"> </w:t>
      </w:r>
      <w:r w:rsidR="000C7E07">
        <w:t xml:space="preserve">и на официальном сайте органов местного самоуправления Котельничского муниципального района </w:t>
      </w:r>
      <w:hyperlink r:id="rId4" w:history="1">
        <w:r w:rsidR="000C7E07">
          <w:rPr>
            <w:rStyle w:val="a4"/>
            <w:lang w:eastAsia="zh-CN"/>
          </w:rPr>
          <w:t>http://www.kotelnich-msu.ru</w:t>
        </w:r>
      </w:hyperlink>
      <w:r w:rsidR="000C7E07">
        <w:rPr>
          <w:lang w:eastAsia="zh-CN"/>
        </w:rPr>
        <w:t>.</w:t>
      </w:r>
    </w:p>
    <w:p w:rsidR="000C7E07" w:rsidRDefault="000C7E07" w:rsidP="000C7E07">
      <w:pPr>
        <w:ind w:left="-11"/>
        <w:jc w:val="both"/>
      </w:pPr>
    </w:p>
    <w:p w:rsidR="009A13F1" w:rsidRPr="000C7E07" w:rsidRDefault="009A13F1" w:rsidP="000C7E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13F1" w:rsidRDefault="009A13F1" w:rsidP="009A13F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13F1" w:rsidRPr="00733FAD" w:rsidRDefault="009A13F1" w:rsidP="009A13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Юбилейного</w:t>
      </w:r>
    </w:p>
    <w:p w:rsidR="009A13F1" w:rsidRDefault="009A13F1" w:rsidP="009A13F1">
      <w:r>
        <w:t>сельского поселения</w:t>
      </w:r>
      <w:r w:rsidRPr="00733FAD">
        <w:t xml:space="preserve">                                        </w:t>
      </w:r>
      <w:r>
        <w:t xml:space="preserve">                   </w:t>
      </w:r>
      <w:proofErr w:type="spellStart"/>
      <w:r>
        <w:t>С.В.Червяков</w:t>
      </w:r>
      <w:proofErr w:type="spellEnd"/>
    </w:p>
    <w:p w:rsidR="009A13F1" w:rsidRDefault="009A13F1" w:rsidP="009A13F1"/>
    <w:p w:rsidR="009A13F1" w:rsidRDefault="009A13F1">
      <w:bookmarkStart w:id="0" w:name="_GoBack"/>
      <w:bookmarkEnd w:id="0"/>
    </w:p>
    <w:p w:rsidR="009A13F1" w:rsidRDefault="009A13F1" w:rsidP="009A13F1">
      <w:r>
        <w:lastRenderedPageBreak/>
        <w:t xml:space="preserve">                                                                                           Приложение № 1</w:t>
      </w:r>
    </w:p>
    <w:p w:rsidR="009A13F1" w:rsidRDefault="009A13F1" w:rsidP="009A13F1">
      <w:r>
        <w:t xml:space="preserve">                                                                                           к Решению Юбилейной </w:t>
      </w:r>
    </w:p>
    <w:p w:rsidR="009A13F1" w:rsidRDefault="009A13F1" w:rsidP="009A13F1">
      <w:r>
        <w:t xml:space="preserve">                                                                                           сельской Думы</w:t>
      </w:r>
    </w:p>
    <w:p w:rsidR="009A13F1" w:rsidRDefault="009A13F1" w:rsidP="009A13F1">
      <w:r>
        <w:t xml:space="preserve">                                                                                           от 22.12.2023 № 94 </w:t>
      </w:r>
    </w:p>
    <w:p w:rsidR="009A13F1" w:rsidRDefault="009A13F1" w:rsidP="009A13F1"/>
    <w:p w:rsidR="009A13F1" w:rsidRPr="00995394" w:rsidRDefault="009A13F1" w:rsidP="009A13F1">
      <w:r>
        <w:t xml:space="preserve"> </w:t>
      </w:r>
    </w:p>
    <w:p w:rsidR="009A13F1" w:rsidRDefault="009A13F1" w:rsidP="009A13F1">
      <w:pPr>
        <w:jc w:val="center"/>
        <w:rPr>
          <w:rFonts w:eastAsia="Calibri"/>
          <w:b/>
        </w:rPr>
      </w:pPr>
      <w:r>
        <w:rPr>
          <w:rFonts w:eastAsia="Calibri"/>
          <w:b/>
        </w:rPr>
        <w:t>МЕТОДИКА</w:t>
      </w:r>
    </w:p>
    <w:p w:rsidR="009A13F1" w:rsidRDefault="009A13F1" w:rsidP="009A13F1">
      <w:pPr>
        <w:widowControl w:val="0"/>
        <w:tabs>
          <w:tab w:val="left" w:pos="1275"/>
        </w:tabs>
        <w:suppressAutoHyphens/>
        <w:ind w:firstLine="735"/>
        <w:jc w:val="center"/>
        <w:rPr>
          <w:rFonts w:eastAsia="Andale Sans UI"/>
          <w:kern w:val="2"/>
          <w:lang w:eastAsia="zh-CN"/>
        </w:rPr>
      </w:pPr>
      <w:r>
        <w:rPr>
          <w:rFonts w:eastAsia="Andale Sans UI"/>
          <w:b/>
          <w:kern w:val="2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:rsidR="009A13F1" w:rsidRDefault="009A13F1" w:rsidP="009A13F1">
      <w:pPr>
        <w:widowControl w:val="0"/>
        <w:tabs>
          <w:tab w:val="left" w:pos="1275"/>
        </w:tabs>
        <w:suppressAutoHyphens/>
        <w:spacing w:after="120"/>
        <w:ind w:firstLine="735"/>
        <w:jc w:val="right"/>
        <w:rPr>
          <w:rFonts w:eastAsia="Andale Sans UI"/>
          <w:kern w:val="2"/>
          <w:lang w:eastAsia="zh-CN"/>
        </w:rPr>
      </w:pPr>
    </w:p>
    <w:p w:rsidR="009A13F1" w:rsidRDefault="009A13F1" w:rsidP="009A13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</w:t>
      </w:r>
      <w:hyperlink r:id="rId5" w:history="1">
        <w:r>
          <w:rPr>
            <w:rStyle w:val="a4"/>
            <w:rFonts w:eastAsia="Calibri"/>
          </w:rPr>
          <w:t>уведомлении</w:t>
        </w:r>
      </w:hyperlink>
      <w:r>
        <w:rPr>
          <w:rFonts w:eastAsia="Calibri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6" w:history="1">
        <w:r>
          <w:rPr>
            <w:rStyle w:val="a4"/>
            <w:rFonts w:eastAsia="Calibri"/>
          </w:rPr>
          <w:t>уведомлении</w:t>
        </w:r>
      </w:hyperlink>
      <w:r>
        <w:rPr>
          <w:rFonts w:eastAsia="Calibri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>
        <w:rPr>
          <w:rFonts w:eastAsia="Calibri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9A13F1" w:rsidRDefault="009A13F1" w:rsidP="009A13F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2) Расчет межбюджетных трансфертов на выполнение полномочий производится по формуле:</w:t>
      </w:r>
    </w:p>
    <w:p w:rsidR="009A13F1" w:rsidRDefault="009A13F1" w:rsidP="009A13F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lang w:val="en-US" w:eastAsia="zh-CN"/>
        </w:rPr>
      </w:pPr>
      <w:r>
        <w:rPr>
          <w:rFonts w:eastAsia="Andale Sans UI"/>
          <w:kern w:val="2"/>
          <w:lang w:val="en-US" w:eastAsia="zh-CN"/>
        </w:rPr>
        <w:t>Sb</w:t>
      </w:r>
      <w:proofErr w:type="gramStart"/>
      <w:r>
        <w:rPr>
          <w:rFonts w:eastAsia="Andale Sans UI"/>
          <w:kern w:val="2"/>
          <w:lang w:val="en-US" w:eastAsia="zh-CN"/>
        </w:rPr>
        <w:t xml:space="preserve">= </w:t>
      </w:r>
      <w:proofErr w:type="gramEnd"/>
      <m:oMath>
        <m:f>
          <m:fPr>
            <m:ctrlPr>
              <w:rPr>
                <w:rFonts w:ascii="Cambria Math" w:eastAsia="Andale Sans UI" w:hAnsi="Cambria Math"/>
                <w:kern w:val="2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/>
                <w:kern w:val="2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/>
                <w:kern w:val="2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/>
                <w:kern w:val="2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/>
            <w:kern w:val="2"/>
            <w:lang w:eastAsia="zh-CN"/>
          </w:rPr>
          <m:t>хЧнп</m:t>
        </m:r>
      </m:oMath>
      <w:r>
        <w:rPr>
          <w:rFonts w:eastAsia="Andale Sans UI"/>
          <w:kern w:val="2"/>
          <w:lang w:val="en-US" w:eastAsia="zh-CN"/>
        </w:rPr>
        <w:t xml:space="preserve">, </w:t>
      </w:r>
    </w:p>
    <w:p w:rsidR="009A13F1" w:rsidRDefault="009A13F1" w:rsidP="009A13F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где С</w:t>
      </w:r>
      <w:r>
        <w:rPr>
          <w:rFonts w:eastAsia="Andale Sans UI"/>
          <w:kern w:val="2"/>
          <w:vertAlign w:val="subscript"/>
          <w:lang w:eastAsia="zh-CN"/>
        </w:rPr>
        <w:t>от</w:t>
      </w:r>
      <w:r>
        <w:rPr>
          <w:rFonts w:eastAsia="Andale Sans UI"/>
          <w:kern w:val="2"/>
          <w:lang w:eastAsia="zh-CN"/>
        </w:rPr>
        <w:t xml:space="preserve"> – оплата труда специалиста отдела ЖКХ, архитектуры и градостроительства (</w:t>
      </w:r>
      <w:r>
        <w:rPr>
          <w:rFonts w:eastAsia="Andale Sans UI"/>
          <w:color w:val="FF0000"/>
          <w:kern w:val="2"/>
          <w:lang w:eastAsia="zh-CN"/>
        </w:rPr>
        <w:t xml:space="preserve">23417,88 </w:t>
      </w:r>
      <w:r>
        <w:rPr>
          <w:rFonts w:eastAsia="Andale Sans UI"/>
          <w:kern w:val="2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:rsidR="009A13F1" w:rsidRDefault="009A13F1" w:rsidP="009A13F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lang w:eastAsia="zh-CN"/>
        </w:rPr>
      </w:pPr>
      <w:proofErr w:type="spellStart"/>
      <w:r>
        <w:rPr>
          <w:rFonts w:eastAsia="Andale Sans UI"/>
          <w:kern w:val="2"/>
          <w:lang w:eastAsia="zh-CN"/>
        </w:rPr>
        <w:t>Ч</w:t>
      </w:r>
      <w:r>
        <w:rPr>
          <w:rFonts w:eastAsia="Andale Sans UI"/>
          <w:kern w:val="2"/>
          <w:vertAlign w:val="subscript"/>
          <w:lang w:eastAsia="zh-CN"/>
        </w:rPr>
        <w:t>нр</w:t>
      </w:r>
      <w:proofErr w:type="spellEnd"/>
      <w:r>
        <w:rPr>
          <w:rFonts w:eastAsia="Andale Sans UI"/>
          <w:kern w:val="2"/>
          <w:lang w:eastAsia="zh-CN"/>
        </w:rPr>
        <w:t>– численность постоянного населения Котельничского района по состоянию на 01.01.2023 год (</w:t>
      </w:r>
      <w:r>
        <w:rPr>
          <w:rFonts w:eastAsia="Andale Sans UI"/>
          <w:color w:val="FF0000"/>
          <w:kern w:val="2"/>
          <w:lang w:eastAsia="zh-CN"/>
        </w:rPr>
        <w:t>10408 чел</w:t>
      </w:r>
      <w:r>
        <w:rPr>
          <w:rFonts w:eastAsia="Andale Sans UI"/>
          <w:kern w:val="2"/>
          <w:lang w:eastAsia="zh-CN"/>
        </w:rPr>
        <w:t>.);</w:t>
      </w:r>
    </w:p>
    <w:p w:rsidR="009A13F1" w:rsidRDefault="009A13F1" w:rsidP="009A13F1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lang w:eastAsia="zh-CN"/>
        </w:rPr>
      </w:pPr>
      <w:proofErr w:type="spellStart"/>
      <w:r>
        <w:rPr>
          <w:rFonts w:eastAsia="Andale Sans UI"/>
          <w:kern w:val="2"/>
          <w:lang w:eastAsia="zh-CN"/>
        </w:rPr>
        <w:t>Ч</w:t>
      </w:r>
      <w:r>
        <w:rPr>
          <w:rFonts w:eastAsia="Andale Sans UI"/>
          <w:kern w:val="2"/>
          <w:vertAlign w:val="subscript"/>
          <w:lang w:eastAsia="zh-CN"/>
        </w:rPr>
        <w:t>нп</w:t>
      </w:r>
      <w:proofErr w:type="spellEnd"/>
      <w:r>
        <w:rPr>
          <w:rFonts w:eastAsia="Andale Sans UI"/>
          <w:kern w:val="2"/>
          <w:lang w:eastAsia="zh-CN"/>
        </w:rPr>
        <w:t>– численность постоянного населения поселения по состоянию на 01.01.2023 год (</w:t>
      </w:r>
      <w:r>
        <w:rPr>
          <w:rFonts w:eastAsia="Andale Sans UI"/>
          <w:color w:val="FF0000"/>
          <w:kern w:val="2"/>
          <w:lang w:eastAsia="zh-CN"/>
        </w:rPr>
        <w:t xml:space="preserve">968 </w:t>
      </w:r>
      <w:proofErr w:type="gramStart"/>
      <w:r>
        <w:rPr>
          <w:rFonts w:eastAsia="Andale Sans UI"/>
          <w:color w:val="FF0000"/>
          <w:kern w:val="2"/>
          <w:lang w:eastAsia="zh-CN"/>
        </w:rPr>
        <w:t>чел</w:t>
      </w:r>
      <w:proofErr w:type="gramEnd"/>
      <w:r>
        <w:rPr>
          <w:rFonts w:eastAsia="Andale Sans UI"/>
          <w:kern w:val="2"/>
          <w:lang w:eastAsia="zh-CN"/>
        </w:rPr>
        <w:t>)</w:t>
      </w:r>
    </w:p>
    <w:p w:rsidR="009A13F1" w:rsidRDefault="009A13F1" w:rsidP="009A13F1">
      <w:pPr>
        <w:widowControl w:val="0"/>
        <w:tabs>
          <w:tab w:val="left" w:pos="1275"/>
          <w:tab w:val="left" w:pos="2490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val="en-US" w:eastAsia="zh-CN"/>
        </w:rPr>
        <w:t>N</w:t>
      </w:r>
      <w:r>
        <w:rPr>
          <w:rFonts w:eastAsia="Andale Sans UI"/>
          <w:kern w:val="2"/>
          <w:lang w:eastAsia="zh-CN"/>
        </w:rPr>
        <w:t xml:space="preserve"> – </w:t>
      </w:r>
      <w:proofErr w:type="gramStart"/>
      <w:r>
        <w:rPr>
          <w:rFonts w:eastAsia="Andale Sans UI"/>
          <w:kern w:val="2"/>
          <w:lang w:eastAsia="zh-CN"/>
        </w:rPr>
        <w:t>финансовый</w:t>
      </w:r>
      <w:proofErr w:type="gramEnd"/>
      <w:r>
        <w:rPr>
          <w:rFonts w:eastAsia="Andale Sans UI"/>
          <w:kern w:val="2"/>
          <w:lang w:eastAsia="zh-CN"/>
        </w:rPr>
        <w:t xml:space="preserve"> норматив (0,25)</w:t>
      </w:r>
    </w:p>
    <w:p w:rsidR="009A13F1" w:rsidRDefault="009A13F1" w:rsidP="009A13F1">
      <w:pPr>
        <w:widowControl w:val="0"/>
        <w:tabs>
          <w:tab w:val="left" w:pos="1275"/>
          <w:tab w:val="left" w:pos="2490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val="en-US" w:eastAsia="zh-CN"/>
        </w:rPr>
        <w:t>Sb</w:t>
      </w:r>
      <w:r>
        <w:rPr>
          <w:rFonts w:eastAsia="Andale Sans UI"/>
          <w:kern w:val="2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</w:p>
    <w:p w:rsidR="009A13F1" w:rsidRDefault="009A13F1" w:rsidP="009A13F1">
      <w:pPr>
        <w:widowControl w:val="0"/>
        <w:tabs>
          <w:tab w:val="left" w:pos="1275"/>
          <w:tab w:val="left" w:pos="2490"/>
        </w:tabs>
        <w:suppressAutoHyphens/>
        <w:spacing w:after="120"/>
        <w:ind w:firstLine="735"/>
        <w:rPr>
          <w:rFonts w:eastAsia="Andale Sans UI"/>
          <w:kern w:val="2"/>
          <w:lang w:eastAsia="zh-CN"/>
        </w:rPr>
      </w:pPr>
    </w:p>
    <w:p w:rsidR="009A13F1" w:rsidRDefault="009A13F1" w:rsidP="009A13F1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</w:t>
      </w: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Приложение № 2</w:t>
      </w:r>
    </w:p>
    <w:p w:rsidR="009A13F1" w:rsidRDefault="009A13F1" w:rsidP="009A13F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к Решению Юбилейной</w:t>
      </w:r>
    </w:p>
    <w:p w:rsidR="009A13F1" w:rsidRDefault="009A13F1" w:rsidP="009A13F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сельской Думы</w:t>
      </w:r>
    </w:p>
    <w:p w:rsidR="009A13F1" w:rsidRDefault="009A13F1" w:rsidP="009A13F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от 22.12.2023 № 94</w:t>
      </w:r>
    </w:p>
    <w:p w:rsidR="009A13F1" w:rsidRDefault="009A13F1" w:rsidP="009A13F1">
      <w:pPr>
        <w:widowControl w:val="0"/>
        <w:tabs>
          <w:tab w:val="left" w:pos="1275"/>
        </w:tabs>
        <w:suppressAutoHyphens/>
        <w:spacing w:after="120"/>
        <w:rPr>
          <w:rFonts w:eastAsia="Andale Sans UI"/>
          <w:kern w:val="2"/>
          <w:lang w:eastAsia="zh-CN"/>
        </w:rPr>
      </w:pPr>
    </w:p>
    <w:p w:rsidR="009A13F1" w:rsidRDefault="009A13F1" w:rsidP="009A13F1">
      <w:pPr>
        <w:widowControl w:val="0"/>
        <w:tabs>
          <w:tab w:val="left" w:pos="1275"/>
        </w:tabs>
        <w:suppressAutoHyphens/>
        <w:spacing w:after="120"/>
        <w:ind w:firstLine="735"/>
        <w:jc w:val="center"/>
        <w:rPr>
          <w:rFonts w:eastAsia="Andale Sans UI"/>
          <w:kern w:val="2"/>
          <w:lang w:eastAsia="zh-CN"/>
        </w:rPr>
      </w:pPr>
      <w:r>
        <w:rPr>
          <w:rFonts w:eastAsia="Andale Sans UI"/>
          <w:b/>
          <w:kern w:val="2"/>
          <w:lang w:eastAsia="zh-CN"/>
        </w:rPr>
        <w:t>Расчет</w:t>
      </w:r>
    </w:p>
    <w:p w:rsidR="009A13F1" w:rsidRDefault="009A13F1" w:rsidP="009A13F1">
      <w:pPr>
        <w:widowControl w:val="0"/>
        <w:tabs>
          <w:tab w:val="left" w:pos="1275"/>
        </w:tabs>
        <w:suppressAutoHyphens/>
        <w:spacing w:after="120"/>
        <w:ind w:firstLine="735"/>
        <w:jc w:val="center"/>
        <w:rPr>
          <w:rFonts w:eastAsia="Andale Sans UI"/>
          <w:kern w:val="2"/>
          <w:lang w:eastAsia="zh-CN"/>
        </w:rPr>
      </w:pPr>
      <w:r>
        <w:rPr>
          <w:rFonts w:eastAsia="Andale Sans UI"/>
          <w:b/>
          <w:kern w:val="2"/>
          <w:lang w:eastAsia="zh-CN"/>
        </w:rPr>
        <w:t>Средств межбюджетных трансфертов на оплату переданных полномочий в 2024 году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1200"/>
        <w:gridCol w:w="2328"/>
        <w:gridCol w:w="4764"/>
        <w:gridCol w:w="1264"/>
      </w:tblGrid>
      <w:tr w:rsidR="009A13F1" w:rsidTr="005D7B7E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Сумма, </w:t>
            </w:r>
          </w:p>
          <w:p w:rsidR="009A13F1" w:rsidRDefault="009A13F1" w:rsidP="005D7B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рублей</w:t>
            </w:r>
          </w:p>
        </w:tc>
      </w:tr>
      <w:tr w:rsidR="009A13F1" w:rsidTr="005D7B7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</w:p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</w:p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</w:p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</w:p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</w:p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</w:p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F1" w:rsidRDefault="009A13F1" w:rsidP="005D7B7E">
            <w:pPr>
              <w:widowControl w:val="0"/>
              <w:tabs>
                <w:tab w:val="left" w:pos="1275"/>
              </w:tabs>
              <w:suppressAutoHyphens/>
              <w:spacing w:after="120"/>
              <w:ind w:firstLine="735"/>
              <w:jc w:val="both"/>
              <w:rPr>
                <w:rFonts w:eastAsia="Andale Sans UI"/>
                <w:kern w:val="2"/>
                <w:lang w:val="en-US" w:eastAsia="zh-CN"/>
              </w:rPr>
            </w:pPr>
            <w:r>
              <w:rPr>
                <w:rFonts w:eastAsia="Andale Sans UI"/>
                <w:kern w:val="2"/>
                <w:lang w:val="en-US" w:eastAsia="zh-CN"/>
              </w:rPr>
              <w:t xml:space="preserve">Sb = </w:t>
            </w:r>
            <m:oMath>
              <m:f>
                <m:fPr>
                  <m:ctrlPr>
                    <w:rPr>
                      <w:rFonts w:ascii="Cambria Math" w:eastAsia="Andale Sans UI" w:hAnsi="Cambria Math"/>
                      <w:kern w:val="2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/>
                  <w:kern w:val="2"/>
                  <w:lang w:eastAsia="zh-CN"/>
                </w:rPr>
                <m:t>хЧнп</m:t>
              </m:r>
            </m:oMath>
            <w:r>
              <w:rPr>
                <w:rFonts w:eastAsia="Andale Sans UI"/>
                <w:kern w:val="2"/>
                <w:lang w:val="en-US" w:eastAsia="zh-CN"/>
              </w:rPr>
              <w:t xml:space="preserve">, </w:t>
            </w:r>
          </w:p>
          <w:p w:rsidR="009A13F1" w:rsidRDefault="009A13F1" w:rsidP="005D7B7E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Sb = </w:t>
            </w:r>
            <m:oMath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23417,88 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/>
                    </w:rPr>
                    <m:t xml:space="preserve"> 0,25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10408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 w:eastAsia="Calibri" w:hAnsi="Cambria Math"/>
                  <w:lang w:val="en-US"/>
                </w:rPr>
                <m:t xml:space="preserve"> 968 </m:t>
              </m:r>
            </m:oMath>
            <w:r>
              <w:rPr>
                <w:rFonts w:eastAsia="Calibri"/>
              </w:rPr>
              <w:t>=544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F1" w:rsidRDefault="009A13F1" w:rsidP="005D7B7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544</w:t>
            </w:r>
          </w:p>
        </w:tc>
      </w:tr>
      <w:tr w:rsidR="009A13F1" w:rsidTr="005D7B7E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F1" w:rsidRDefault="009A13F1" w:rsidP="005D7B7E">
            <w:pPr>
              <w:snapToGri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F1" w:rsidRDefault="009A13F1" w:rsidP="005D7B7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544</w:t>
            </w:r>
          </w:p>
        </w:tc>
      </w:tr>
    </w:tbl>
    <w:p w:rsidR="009A13F1" w:rsidRDefault="009A13F1" w:rsidP="009A13F1">
      <w:pPr>
        <w:jc w:val="center"/>
        <w:rPr>
          <w:rFonts w:eastAsia="Calibri"/>
        </w:rPr>
      </w:pPr>
    </w:p>
    <w:p w:rsidR="009A13F1" w:rsidRDefault="009A13F1" w:rsidP="009A13F1">
      <w:pPr>
        <w:jc w:val="center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 w:rsidP="009A13F1">
      <w:pPr>
        <w:jc w:val="both"/>
        <w:rPr>
          <w:rFonts w:eastAsia="Calibri"/>
        </w:rPr>
      </w:pPr>
    </w:p>
    <w:p w:rsidR="009A13F1" w:rsidRDefault="009A13F1"/>
    <w:sectPr w:rsidR="009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F1"/>
    <w:rsid w:val="000C7E07"/>
    <w:rsid w:val="00886238"/>
    <w:rsid w:val="009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32C5-43A9-4080-8035-92BDAD0F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1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A13F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A13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7E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E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5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2023-12-24T09:48:00Z</cp:lastPrinted>
  <dcterms:created xsi:type="dcterms:W3CDTF">2023-11-24T08:48:00Z</dcterms:created>
  <dcterms:modified xsi:type="dcterms:W3CDTF">2023-12-24T09:48:00Z</dcterms:modified>
</cp:coreProperties>
</file>